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hanging="0" w:left="0" w:right="0"/>
        <w:jc w:val="right"/>
        <w:rPr>
          <w:rFonts w:ascii="Liberation Serif" w:hAnsi="Liberation Serif" w:eastAsia="Liberation Serif" w:cs="Liberation Serif"/>
          <w:b w:val="false"/>
          <w:bCs/>
          <w:i/>
          <w:i/>
          <w:color w:val="00000A"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sz w:val="24"/>
          <w:szCs w:val="24"/>
        </w:rPr>
        <w:t xml:space="preserve">Приложение 1 </w:t>
      </w:r>
    </w:p>
    <w:p>
      <w:pPr>
        <w:pStyle w:val="Normal"/>
        <w:spacing w:before="0" w:after="0"/>
        <w:ind w:hanging="0" w:left="0" w:right="0"/>
        <w:jc w:val="right"/>
        <w:rPr>
          <w:rFonts w:ascii="Liberation Serif" w:hAnsi="Liberation Serif" w:cs="Liberation Serif"/>
          <w:b w:val="false"/>
          <w:bCs/>
          <w:i/>
          <w:i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color w:val="00000A"/>
          <w:sz w:val="24"/>
          <w:szCs w:val="24"/>
        </w:rPr>
        <w:t>к Техническим требованиям на поставку МТР</w:t>
      </w:r>
    </w:p>
    <w:p>
      <w:pPr>
        <w:pStyle w:val="Normal"/>
        <w:spacing w:before="119" w:after="0"/>
        <w:ind w:hanging="0" w:left="0" w:right="0"/>
        <w:jc w:val="right"/>
        <w:rPr>
          <w:rFonts w:ascii="Liberation Serif" w:hAnsi="Liberation Serif" w:eastAsia="Liberation Serif" w:cs="Liberation Serif"/>
          <w:b w:val="false"/>
          <w:bCs/>
          <w:i/>
          <w:i/>
          <w:color w:val="00000A"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color w:val="00000A"/>
          <w:sz w:val="24"/>
          <w:szCs w:val="24"/>
        </w:rPr>
        <w:t xml:space="preserve">ОКПД2 27.20.23.190 Поставка аккумуляторных батарей </w:t>
      </w:r>
    </w:p>
    <w:p>
      <w:pPr>
        <w:pStyle w:val="Normal"/>
        <w:spacing w:before="119" w:after="0"/>
        <w:ind w:hanging="0" w:left="0" w:right="0"/>
        <w:jc w:val="right"/>
        <w:rPr>
          <w:rFonts w:ascii="Liberation Serif" w:hAnsi="Liberation Serif" w:eastAsia="Liberation Serif" w:cs="Liberation Serif"/>
          <w:b w:val="false"/>
          <w:bCs/>
          <w:i/>
          <w:i/>
          <w:color w:val="00000A"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color w:val="00000A"/>
          <w:sz w:val="24"/>
          <w:szCs w:val="24"/>
        </w:rPr>
        <w:t xml:space="preserve">для филиалов АО «ДРСК» «Амурские электрические сети», </w:t>
      </w:r>
    </w:p>
    <w:p>
      <w:pPr>
        <w:pStyle w:val="Normal"/>
        <w:spacing w:before="119" w:after="0"/>
        <w:ind w:hanging="0" w:left="0" w:right="0"/>
        <w:jc w:val="right"/>
        <w:rPr>
          <w:rFonts w:ascii="Liberation Serif" w:hAnsi="Liberation Serif" w:eastAsia="Liberation Serif" w:cs="Liberation Serif"/>
          <w:b w:val="false"/>
          <w:bCs/>
          <w:i/>
          <w:i/>
          <w:color w:val="00000A"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color w:val="00000A"/>
          <w:sz w:val="24"/>
          <w:szCs w:val="24"/>
        </w:rPr>
        <w:t xml:space="preserve">«Приморские электрические сети», «Хабаровские электрические сети» </w:t>
      </w:r>
    </w:p>
    <w:p>
      <w:pPr>
        <w:pStyle w:val="Normal"/>
        <w:spacing w:before="119" w:after="0"/>
        <w:ind w:hanging="0" w:left="0" w:right="0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color w:val="00000A"/>
          <w:sz w:val="24"/>
          <w:szCs w:val="24"/>
        </w:rPr>
        <w:t>в рамках инвестиционной, ремонтной и эксплуатационной программ</w:t>
      </w:r>
      <w:r>
        <w:rPr>
          <w:rFonts w:eastAsia="Times New Roman" w:cs="Times New Roman"/>
          <w:b/>
          <w:i/>
          <w:color w:val="00000A"/>
          <w:sz w:val="24"/>
        </w:rPr>
        <w:t xml:space="preserve"> </w:t>
      </w:r>
    </w:p>
    <w:p>
      <w:pPr>
        <w:pStyle w:val="Normal"/>
        <w:jc w:val="left"/>
        <w:rPr>
          <w:rFonts w:ascii="Liberation Serif" w:hAnsi="Liberation Serif" w:eastAsia="Liberation Serif" w:cs="Liberation Serif"/>
          <w:b w:val="false"/>
          <w:bCs/>
          <w:i/>
          <w:i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/>
          <w:i/>
          <w:sz w:val="24"/>
          <w:szCs w:val="24"/>
        </w:rPr>
      </w:r>
    </w:p>
    <w:p>
      <w:pPr>
        <w:pStyle w:val="Normal"/>
        <w:jc w:val="right"/>
        <w:rPr>
          <w:rFonts w:ascii="Liberation Serif" w:hAnsi="Liberation Serif" w:eastAsia="Liberation Serif" w:cs="Liberation Serif"/>
          <w:b w:val="false"/>
          <w:bCs/>
          <w:i/>
          <w:i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/>
          <w:i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bCs/>
          <w:i/>
          <w:i/>
          <w:sz w:val="24"/>
          <w:szCs w:val="24"/>
          <w:highlight w:val="yellow"/>
        </w:rPr>
      </w:pPr>
      <w:r>
        <w:rPr>
          <w:rFonts w:eastAsia="Liberation Serif" w:cs="Liberation Serif" w:ascii="Liberation Serif" w:hAnsi="Liberation Serif"/>
          <w:b/>
          <w:bCs/>
          <w:i/>
          <w:iCs/>
          <w:sz w:val="24"/>
          <w:szCs w:val="24"/>
        </w:rPr>
        <w:t>Опросной лист на АКБ</w:t>
      </w:r>
    </w:p>
    <w:p>
      <w:pPr>
        <w:pStyle w:val="Normal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Heading2"/>
        <w:ind w:firstLine="567" w:left="0" w:right="0"/>
        <w:jc w:val="both"/>
        <w:rPr>
          <w:rFonts w:ascii="Liberation Serif" w:hAnsi="Liberation Serif" w:cs="Liberation Serif"/>
          <w:szCs w:val="24"/>
        </w:rPr>
      </w:pPr>
      <w:r>
        <w:rPr>
          <w:rFonts w:eastAsia="Liberation Serif" w:cs="Liberation Serif" w:ascii="Liberation Serif" w:hAnsi="Liberation Serif"/>
          <w:b/>
          <w:color w:val="000000"/>
          <w:sz w:val="24"/>
          <w:szCs w:val="24"/>
        </w:rPr>
        <w:t>Требования к АБ:</w:t>
      </w:r>
    </w:p>
    <w:p>
      <w:pPr>
        <w:pStyle w:val="ListParagraph"/>
        <w:numPr>
          <w:ilvl w:val="0"/>
          <w:numId w:val="2"/>
        </w:numPr>
        <w:ind w:hanging="360" w:left="709" w:righ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АБ герметизированные, необслуживаемые, с клапаном регулирования VRLA, выполненные по AGM технологии, в соответствии с ГОСТ Р МЭК 60896-22—2015;</w:t>
      </w:r>
    </w:p>
    <w:p>
      <w:pPr>
        <w:pStyle w:val="ListParagraph"/>
        <w:numPr>
          <w:ilvl w:val="0"/>
          <w:numId w:val="2"/>
        </w:numPr>
        <w:ind w:hanging="360" w:left="709" w:righ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Номинальное напряжение аккумулятора: 12 В;</w:t>
      </w:r>
    </w:p>
    <w:p>
      <w:pPr>
        <w:pStyle w:val="ListParagraph"/>
        <w:numPr>
          <w:ilvl w:val="0"/>
          <w:numId w:val="2"/>
        </w:numPr>
        <w:ind w:hanging="360" w:left="709" w:righ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Номинальная ёмкость АБ не менее 55 Ач (C</w:t>
      </w:r>
      <w:r>
        <w:rPr>
          <w:rFonts w:eastAsia="Liberation Serif" w:cs="Liberation Serif" w:ascii="Liberation Serif" w:hAnsi="Liberation Serif"/>
          <w:color w:val="000000"/>
          <w:sz w:val="24"/>
          <w:szCs w:val="24"/>
          <w:vertAlign w:val="subscript"/>
        </w:rPr>
        <w:t>10</w:t>
      </w: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 xml:space="preserve"> до 10,8В/моноблок);</w:t>
      </w:r>
    </w:p>
    <w:p>
      <w:pPr>
        <w:pStyle w:val="ListParagraph"/>
        <w:numPr>
          <w:ilvl w:val="0"/>
          <w:numId w:val="2"/>
        </w:numPr>
        <w:ind w:hanging="360" w:left="709" w:righ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Расположение выводов сверху.</w:t>
      </w:r>
    </w:p>
    <w:p>
      <w:pPr>
        <w:pStyle w:val="Normal"/>
        <w:ind w:hanging="0" w:left="0" w:righ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ind w:firstLine="567" w:left="0" w:right="0"/>
        <w:jc w:val="both"/>
        <w:rPr>
          <w:rFonts w:ascii="Liberation Serif" w:hAnsi="Liberation Serif" w:eastAsia="Liberation Serif" w:cs="Liberation Serif"/>
          <w:color w:val="000000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Таблица №1 – Технические требования к аккумуляторной батарее НВ031076 Мультиплексор М 30 АЕ.</w:t>
      </w:r>
    </w:p>
    <w:tbl>
      <w:tblPr>
        <w:tblStyle w:val="48"/>
        <w:tblW w:w="9354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4a0" w:noHBand="0" w:noVBand="1" w:firstColumn="1" w:lastRow="0" w:lastColumn="0" w:firstRow="1"/>
      </w:tblPr>
      <w:tblGrid>
        <w:gridCol w:w="887"/>
        <w:gridCol w:w="4729"/>
        <w:gridCol w:w="1870"/>
        <w:gridCol w:w="1867"/>
      </w:tblGrid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b/>
                <w:color w:val="000000"/>
                <w:kern w:val="0"/>
                <w:sz w:val="24"/>
                <w:szCs w:val="24"/>
              </w:rPr>
              <w:t>п/п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b/>
                <w:color w:val="000000"/>
                <w:kern w:val="0"/>
                <w:sz w:val="24"/>
                <w:szCs w:val="24"/>
              </w:rPr>
              <w:t>Технические характеристики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b/>
                <w:color w:val="000000"/>
                <w:kern w:val="0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b/>
                <w:color w:val="000000"/>
                <w:kern w:val="0"/>
                <w:sz w:val="24"/>
                <w:szCs w:val="24"/>
              </w:rPr>
              <w:t>Требование Заказчика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b/>
                <w:color w:val="000000"/>
                <w:kern w:val="0"/>
                <w:sz w:val="24"/>
                <w:szCs w:val="24"/>
              </w:rPr>
              <w:t>Предложение Участника</w:t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-142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Основные технические характеристики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Изготовитель и тип АБ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Heading1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Delta</w:t>
            </w:r>
          </w:p>
          <w:p>
            <w:pPr>
              <w:pStyle w:val="Heading1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HRL 12-260W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или аналог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1.1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Расчетная емкость аккумулятора (элемента) С</w:t>
            </w: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  <w:vertAlign w:val="subscript"/>
              </w:rPr>
              <w:t>10</w:t>
            </w: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, Ач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не менее 55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1.2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Номинальное напряжение аккумулятора, 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12,0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1.3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Напряжение постоянного подзаряда при температуре 20-30</w:t>
            </w:r>
            <w:r>
              <w:rPr>
                <w:rFonts w:eastAsia="Liberation Serif" w:cs="Liberation Serif" w:ascii="Liberation Serif" w:hAnsi="Liberation Serif"/>
                <w:b w:val="false"/>
                <w:bCs w:val="false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Arial" w:cs="Arial" w:ascii="Arial" w:hAnsi="Arial"/>
                <w:b w:val="false"/>
                <w:bCs w:val="false"/>
                <w:color w:val="333333"/>
                <w:kern w:val="0"/>
                <w:sz w:val="24"/>
                <w:highlight w:val="white"/>
              </w:rPr>
              <w:t>°C</w:t>
            </w: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, В/элемент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13,68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1.4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Допустимая величина пульсации по напряжению, не более, %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1%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1.5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Количество элементов в батарее, шт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1.6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Внутреннее сопротивление, не более, мОм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5,8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1.7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Режим работы аккумуляторов: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 кратковременный разряд большими токами,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 длительная нагрузка с отбором большой емкости,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 постоянный подзаряд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1.8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Разрядный ток при 3-часовом разряде до напряжения 1,8 В/эл, не менее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28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15,2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1.9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Разрядный ток при 1-часовом разряде до напряжения 1,8 В/эл, не менее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28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38,4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Технические требования к конструкции, изготовлению и материалам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2.1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Конструктивное исполнение элемента: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Герметизированный с регулирующим клапаном, выполненный по AGM-технологии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2.3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Корпус, крышка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ABS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2.4</w:t>
            </w:r>
          </w:p>
        </w:tc>
        <w:tc>
          <w:tcPr>
            <w:tcW w:w="47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Положительная пластина</w:t>
            </w:r>
          </w:p>
        </w:tc>
        <w:tc>
          <w:tcPr>
            <w:tcW w:w="18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Диоксид свинца</w:t>
            </w:r>
          </w:p>
        </w:tc>
        <w:tc>
          <w:tcPr>
            <w:tcW w:w="1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2.5</w:t>
            </w:r>
          </w:p>
        </w:tc>
        <w:tc>
          <w:tcPr>
            <w:tcW w:w="47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Отрицательная пластина</w:t>
            </w:r>
          </w:p>
        </w:tc>
        <w:tc>
          <w:tcPr>
            <w:tcW w:w="18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Свинец</w:t>
            </w:r>
          </w:p>
        </w:tc>
        <w:tc>
          <w:tcPr>
            <w:tcW w:w="1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2.6</w:t>
            </w:r>
          </w:p>
        </w:tc>
        <w:tc>
          <w:tcPr>
            <w:tcW w:w="47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Клемы</w:t>
            </w:r>
          </w:p>
        </w:tc>
        <w:tc>
          <w:tcPr>
            <w:tcW w:w="18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Медь</w:t>
            </w:r>
          </w:p>
        </w:tc>
        <w:tc>
          <w:tcPr>
            <w:tcW w:w="1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2.7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Тип клеммы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Под болт М6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2.8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Габариты аккумулятора (дл/ш/в), не более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229/138/208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244" w:left="0" w:right="-142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2.9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Масса аккумулятора не менее, кг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2.10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 xml:space="preserve">Выдерживаемое повышенное или пониженное давление по сравнению с атмосферным при герметизации в выводах, между крышкой и баком, пробкой при температуре </w:t>
            </w:r>
            <w:r>
              <w:rPr>
                <w:rFonts w:eastAsia="Liberation Serif" w:cs="Liberation Serif" w:ascii="Liberation Serif" w:hAnsi="Liberation Serif"/>
                <w:b w:val="false"/>
                <w:bCs w:val="false"/>
                <w:color w:val="000000"/>
                <w:kern w:val="0"/>
                <w:sz w:val="24"/>
                <w:szCs w:val="24"/>
              </w:rPr>
              <w:t>25</w:t>
            </w:r>
            <w:r>
              <w:rPr>
                <w:rFonts w:eastAsia="Arial" w:cs="Arial" w:ascii="Arial" w:hAnsi="Arial"/>
                <w:b w:val="false"/>
                <w:bCs w:val="false"/>
                <w:color w:val="333333"/>
                <w:kern w:val="0"/>
                <w:sz w:val="24"/>
                <w:highlight w:val="white"/>
              </w:rPr>
              <w:t>±</w:t>
            </w:r>
            <w:r>
              <w:rPr>
                <w:rFonts w:eastAsia="Liberation Serif" w:cs="Liberation Serif" w:ascii="Liberation Serif" w:hAnsi="Liberation Serif"/>
                <w:b w:val="false"/>
                <w:bCs w:val="false"/>
                <w:color w:val="000000"/>
                <w:kern w:val="0"/>
                <w:sz w:val="24"/>
                <w:szCs w:val="24"/>
              </w:rPr>
              <w:t xml:space="preserve">10 </w:t>
            </w:r>
            <w:r>
              <w:rPr>
                <w:rFonts w:eastAsia="Arial" w:cs="Arial" w:ascii="Arial" w:hAnsi="Arial"/>
                <w:b w:val="false"/>
                <w:bCs w:val="false"/>
                <w:color w:val="333333"/>
                <w:kern w:val="0"/>
                <w:sz w:val="24"/>
                <w:highlight w:val="white"/>
              </w:rPr>
              <w:t>°C</w:t>
            </w:r>
            <w:r>
              <w:rPr>
                <w:rFonts w:eastAsia="Liberation Serif" w:cs="Liberation Serif" w:ascii="Liberation Serif" w:hAnsi="Liberation Serif"/>
                <w:b w:val="false"/>
                <w:bCs w:val="false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 xml:space="preserve"> не менее, кПа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2.11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Категория размещения и климатическое исполнение по ГОСТ 15150-69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УХЛ4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2.12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до 1000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2.13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Сейсмостойкость, баллов по шкале MSK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2.14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 xml:space="preserve">Диапазон рабочих температур, </w:t>
            </w:r>
            <w:r>
              <w:rPr>
                <w:rFonts w:eastAsia="Arial" w:cs="Arial" w:ascii="Arial" w:hAnsi="Arial"/>
                <w:b w:val="false"/>
                <w:bCs w:val="false"/>
                <w:color w:val="333333"/>
                <w:kern w:val="0"/>
                <w:sz w:val="24"/>
                <w:highlight w:val="white"/>
              </w:rPr>
              <w:t>°C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+5…+45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Гарантийный срок эксплуатации, не менее, лет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3.2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Полный срок службы в режиме постоянного подзаряда, не менее, лет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3.3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Допустимый срок хранения аккумулятора от выпуска до приведения в рабочее состояние, не менее, месяцев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3.4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Периодичность и объем технического обслуживания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согласно инструкции и ПТЭ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Комплектность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4.1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Аккумуляторы заряженные, в собранном состоянии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4.2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Межэлементное соединение (перемычка) в сборе (болт, шайбы, полюсный наконечник, изолирующий колпачок) для болтового соединения, (да, нет)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4.3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Концевой вывод (пластина), да / нет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4.4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Кабельные наконечники, (да, нет)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4.6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Комплект самоклеящихся номерных знаков, (да, нет)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4.7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Комплект для монтажа аккумуляторов, (да, нет)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4.8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Батарейный шкаф для установки аккумуляторов металлический (да, нет)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Нет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4.9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Эксплуатационная документация на русском языке, экз.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-техническое описание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-инструкция по монтажу аккумуляторов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-инструкция по эксплуатации аккумуляторов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-паспорт на аккумулятор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-рекомендации по сбору стеллажей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 экземпляра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5.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Маркировка, упаковка и консервация по ГОСТ 14192, ГОСТ 23216 и ГОСТ 15150-69 (да, нет)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6.</w:t>
            </w:r>
          </w:p>
        </w:tc>
        <w:tc>
          <w:tcPr>
            <w:tcW w:w="4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Закрытым авто/жд транспортом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47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rPr/>
            </w:pPr>
            <w:r>
              <w:rPr/>
              <w:t>Год выпуска АБ, не позднее</w:t>
            </w:r>
          </w:p>
        </w:tc>
        <w:tc>
          <w:tcPr>
            <w:tcW w:w="18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2027</w:t>
            </w:r>
          </w:p>
        </w:tc>
        <w:tc>
          <w:tcPr>
            <w:tcW w:w="1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</w:tbl>
    <w:p>
      <w:pPr>
        <w:pStyle w:val="Normal"/>
        <w:ind w:firstLine="567" w:left="0" w:righ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*- Заполняет Участник</w:t>
      </w:r>
    </w:p>
    <w:p>
      <w:pPr>
        <w:pStyle w:val="Normal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sectPr>
      <w:footerReference w:type="default" r:id="rId2"/>
      <w:type w:val="nextPage"/>
      <w:pgSz w:w="11906" w:h="16838"/>
      <w:pgMar w:left="1276" w:right="851" w:gutter="0" w:header="0" w:top="851" w:footer="709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ISOCPEUR"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pStyle w:val="Heading3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·"/>
      <w:lvlJc w:val="left"/>
      <w:pPr>
        <w:tabs>
          <w:tab w:val="num" w:pos="0"/>
        </w:tabs>
        <w:ind w:left="709" w:hanging="360"/>
      </w:pPr>
      <w:rPr>
        <w:rFonts w:ascii="Symbol" w:hAnsi="Symbol" w:cs="Symbol" w:hint="default"/>
        <w:sz w:val="20"/>
        <w:color w:val="000000"/>
      </w:rPr>
    </w:lvl>
    <w:lvl w:ilvl="1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0"/>
        <w:color w:val="000000"/>
      </w:rPr>
    </w:lvl>
    <w:lvl w:ilvl="2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  <w:sz w:val="20"/>
        <w:color w:val="000000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  <w:sz w:val="20"/>
        <w:color w:val="000000"/>
      </w:rPr>
    </w:lvl>
    <w:lvl w:ilvl="4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  <w:sz w:val="20"/>
        <w:color w:val="000000"/>
      </w:rPr>
    </w:lvl>
    <w:lvl w:ilvl="5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  <w:sz w:val="20"/>
        <w:color w:val="000000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  <w:sz w:val="20"/>
        <w:color w:val="000000"/>
      </w:rPr>
    </w:lvl>
    <w:lvl w:ilvl="7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  <w:sz w:val="20"/>
        <w:color w:val="000000"/>
      </w:rPr>
    </w:lvl>
    <w:lvl w:ilvl="8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  <w:sz w:val="20"/>
        <w:color w:val="00000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Lohit Devanagari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rFonts w:ascii="Arial" w:hAnsi="Arial" w:cs="Arial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uiPriority w:val="99"/>
    <w:unhideWhenUsed/>
    <w:qFormat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b/>
      <w:i w:val="false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b/>
      <w:i w:val="false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b/>
      <w:i w:val="false"/>
    </w:rPr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b/>
      <w:color w:val="3366FF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/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b/>
    </w:rPr>
  </w:style>
  <w:style w:type="character" w:styleId="WW8Num9z1">
    <w:name w:val="WW8Num9z1"/>
    <w:qFormat/>
    <w:rPr/>
  </w:style>
  <w:style w:type="character" w:styleId="WW8Num10z0">
    <w:name w:val="WW8Num10z0"/>
    <w:qFormat/>
    <w:rPr>
      <w:b/>
      <w:i w:val="false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b/>
      <w:sz w:val="24"/>
      <w:szCs w:val="24"/>
    </w:rPr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rFonts w:ascii="Symbol" w:hAnsi="Symbol" w:cs="Symbol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/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0">
    <w:name w:val="WW8Num15z0"/>
    <w:qFormat/>
    <w:rPr/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>
      <w:b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Style2">
    <w:name w:val="Основной шрифт абзаца"/>
    <w:qFormat/>
    <w:rPr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Hend21">
    <w:name w:val="hend21"/>
    <w:qFormat/>
    <w:rPr>
      <w:rFonts w:ascii="Tahoma" w:hAnsi="Tahoma" w:cs="Tahoma"/>
      <w:strike w:val="false"/>
      <w:dstrike w:val="false"/>
      <w:color w:val="004A4A"/>
      <w:sz w:val="16"/>
      <w:szCs w:val="16"/>
      <w:u w:val="none"/>
    </w:rPr>
  </w:style>
  <w:style w:type="character" w:styleId="Style3">
    <w:name w:val="Верхний колонтитул Знак"/>
    <w:qFormat/>
    <w:rPr>
      <w:sz w:val="24"/>
      <w:szCs w:val="24"/>
    </w:rPr>
  </w:style>
  <w:style w:type="character" w:styleId="Style4">
    <w:name w:val="Нижний колонтитул Знак"/>
    <w:qFormat/>
    <w:rPr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>
    <w:name w:val="Пункт Знак1"/>
    <w:qFormat/>
    <w:rPr>
      <w:sz w:val="28"/>
      <w:lang w:val="ru-RU" w:eastAsia="ru-RU" w:bidi="ar-SA"/>
    </w:rPr>
  </w:style>
  <w:style w:type="character" w:styleId="3">
    <w:name w:val="Заголовок 3 Знак"/>
    <w:qFormat/>
    <w:rPr>
      <w:rFonts w:ascii="Arial" w:hAnsi="Arial" w:eastAsia="Arial Unicode MS" w:cs="Arial"/>
      <w:b/>
      <w:bCs/>
    </w:rPr>
  </w:style>
  <w:style w:type="character" w:styleId="Style5">
    <w:name w:val="Основной текст с отступом Знак"/>
    <w:qFormat/>
    <w:rPr>
      <w:b/>
      <w:bCs/>
      <w:i/>
      <w:iCs/>
      <w:sz w:val="24"/>
      <w:szCs w:val="24"/>
    </w:rPr>
  </w:style>
  <w:style w:type="character" w:styleId="Style6">
    <w:name w:val="Текст сноски Знак"/>
    <w:basedOn w:val="DefaultParagraphFont"/>
    <w:qFormat/>
    <w:rPr/>
  </w:style>
  <w:style w:type="character" w:styleId="Annotationreference">
    <w:name w:val="annotation reference"/>
    <w:qFormat/>
    <w:rPr>
      <w:sz w:val="16"/>
      <w:szCs w:val="16"/>
    </w:rPr>
  </w:style>
  <w:style w:type="character" w:styleId="Style7">
    <w:name w:val="Текст примечания Знак"/>
    <w:qFormat/>
    <w:rPr>
      <w:lang w:eastAsia="ar-SA"/>
    </w:rPr>
  </w:style>
  <w:style w:type="character" w:styleId="31">
    <w:name w:val="Основной текст 3 Знак"/>
    <w:basedOn w:val="DefaultParagraphFont"/>
    <w:qFormat/>
    <w:rPr>
      <w:sz w:val="16"/>
      <w:szCs w:val="16"/>
    </w:rPr>
  </w:style>
  <w:style w:type="character" w:styleId="FontStyle20">
    <w:name w:val="Font Style20"/>
    <w:qFormat/>
    <w:rPr>
      <w:rFonts w:ascii="Arial" w:hAnsi="Arial" w:cs="Arial"/>
      <w:sz w:val="20"/>
      <w:szCs w:val="20"/>
    </w:rPr>
  </w:style>
  <w:style w:type="character" w:styleId="Style8">
    <w:name w:val="Таблица шапка Знак"/>
    <w:qFormat/>
    <w:rPr>
      <w:sz w:val="22"/>
    </w:rPr>
  </w:style>
  <w:style w:type="character" w:styleId="Style9">
    <w:name w:val="Таблица текст Знак"/>
    <w:qFormat/>
    <w:rPr>
      <w:sz w:val="24"/>
      <w:szCs w:val="24"/>
    </w:rPr>
  </w:style>
  <w:style w:type="character" w:styleId="Style10">
    <w:name w:val="Тема примечания Знак"/>
    <w:basedOn w:val="Style7"/>
    <w:qFormat/>
    <w:rPr>
      <w:b/>
      <w:bCs/>
      <w:lang w:eastAsia="ar-SA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0"/>
      <w:ind w:hanging="0"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oto Serif CJK SC" w:cs="Lohit Devanagari"/>
      <w:color w:val="auto"/>
      <w:kern w:val="0"/>
      <w:sz w:val="20"/>
      <w:szCs w:val="20"/>
      <w:lang w:val="ru-RU" w:eastAsia="zh-CN" w:bidi="hi-IN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hanging="0"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hanging="0" w:left="720" w:right="720"/>
    </w:pPr>
    <w:rPr>
      <w:i/>
    </w:rPr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11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erif CJK SC" w:cs="Lohit Devanagari"/>
      <w:color w:val="auto"/>
      <w:kern w:val="0"/>
      <w:sz w:val="20"/>
      <w:szCs w:val="20"/>
      <w:lang w:val="ru-RU" w:eastAsia="zh-CN" w:bidi="hi-IN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BodyTextIndent">
    <w:name w:val="Body Text Indent"/>
    <w:basedOn w:val="Normal"/>
    <w:pPr/>
    <w:rPr>
      <w:sz w:val="26"/>
      <w:szCs w:val="26"/>
    </w:rPr>
  </w:style>
  <w:style w:type="paragraph" w:styleId="Style13">
    <w:name w:val=" Знак Знак Знак"/>
    <w:basedOn w:val="Normal"/>
    <w:qFormat/>
    <w:pPr>
      <w:tabs>
        <w:tab w:val="clear" w:pos="708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14">
    <w:name w:val="Абзац списка"/>
    <w:basedOn w:val="Normal"/>
    <w:qFormat/>
    <w:pPr>
      <w:spacing w:before="0" w:after="0"/>
      <w:ind w:hanging="0" w:left="720" w:right="0"/>
      <w:contextualSpacing/>
    </w:pPr>
    <w:rPr/>
  </w:style>
  <w:style w:type="paragraph" w:styleId="Style15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16">
    <w:name w:val=" Знак Знак Знак Знак Знак Знак Знак Знак Знак Знак"/>
    <w:basedOn w:val="Normal"/>
    <w:qFormat/>
    <w:pPr>
      <w:tabs>
        <w:tab w:val="clear" w:pos="708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17">
    <w:name w:val="Обычный (веб)"/>
    <w:basedOn w:val="Normal"/>
    <w:qFormat/>
    <w:pPr>
      <w:spacing w:before="280" w:after="280"/>
    </w:pPr>
    <w:rPr/>
  </w:style>
  <w:style w:type="paragraph" w:styleId="Style18">
    <w:name w:val=".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19">
    <w:name w:val=" Знак"/>
    <w:basedOn w:val="Normal"/>
    <w:qFormat/>
    <w:pPr>
      <w:tabs>
        <w:tab w:val="clear" w:pos="708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20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1">
    <w:name w:val="Содержимое таблицы"/>
    <w:basedOn w:val="Normal"/>
    <w:qFormat/>
    <w:pPr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paragraph" w:styleId="ListNumber">
    <w:name w:val="List Number"/>
    <w:basedOn w:val="Normal"/>
    <w:qFormat/>
    <w:pPr>
      <w:spacing w:lineRule="auto" w:line="360" w:before="60" w:after="0"/>
      <w:jc w:val="both"/>
    </w:pPr>
    <w:rPr>
      <w:sz w:val="28"/>
    </w:rPr>
  </w:style>
  <w:style w:type="paragraph" w:styleId="BodyTextIndent2">
    <w:name w:val="Body Text Indent 2"/>
    <w:basedOn w:val="Normal"/>
    <w:qFormat/>
    <w:pPr>
      <w:ind w:firstLine="240" w:left="0" w:right="0"/>
      <w:jc w:val="both"/>
    </w:pPr>
    <w:rPr/>
  </w:style>
  <w:style w:type="paragraph" w:styleId="BodyTextIndent3">
    <w:name w:val="Body Text Indent 3"/>
    <w:basedOn w:val="Normal"/>
    <w:qFormat/>
    <w:pPr>
      <w:ind w:firstLine="360" w:left="0" w:right="0"/>
      <w:jc w:val="both"/>
    </w:pPr>
    <w:rPr/>
  </w:style>
  <w:style w:type="paragraph" w:styleId="Style23">
    <w:name w:val="Пункт"/>
    <w:basedOn w:val="Normal"/>
    <w:qFormat/>
    <w:pPr>
      <w:tabs>
        <w:tab w:val="clear" w:pos="708"/>
        <w:tab w:val="left" w:pos="1844" w:leader="none"/>
      </w:tabs>
      <w:spacing w:lineRule="auto" w:line="360"/>
      <w:ind w:hanging="1134" w:left="1844" w:right="0"/>
      <w:jc w:val="both"/>
    </w:pPr>
    <w:rPr>
      <w:sz w:val="28"/>
      <w:szCs w:val="20"/>
    </w:rPr>
  </w:style>
  <w:style w:type="paragraph" w:styleId="Style24">
    <w:name w:val="Подпункт"/>
    <w:basedOn w:val="Style23"/>
    <w:qFormat/>
    <w:pPr>
      <w:tabs>
        <w:tab w:val="clear" w:pos="1844"/>
        <w:tab w:val="left" w:pos="360" w:leader="none"/>
        <w:tab w:val="left" w:pos="2880" w:leader="none"/>
      </w:tabs>
      <w:ind w:hanging="360" w:left="360" w:right="0"/>
    </w:pPr>
    <w:rPr/>
  </w:style>
  <w:style w:type="paragraph" w:styleId="Style25">
    <w:name w:val="Подподпункт"/>
    <w:basedOn w:val="Style24"/>
    <w:qFormat/>
    <w:pPr>
      <w:tabs>
        <w:tab w:val="clear" w:pos="2880"/>
        <w:tab w:val="left" w:pos="360" w:leader="none"/>
        <w:tab w:val="left" w:pos="3600" w:leader="none"/>
      </w:tabs>
    </w:pPr>
    <w:rPr/>
  </w:style>
  <w:style w:type="paragraph" w:styleId="Style26">
    <w:name w:val="Знак"/>
    <w:basedOn w:val="Normal"/>
    <w:qFormat/>
    <w:pPr>
      <w:tabs>
        <w:tab w:val="clear" w:pos="708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Msonormalcxspmiddle">
    <w:name w:val="msonormalcxspmiddle"/>
    <w:basedOn w:val="Normal"/>
    <w:qFormat/>
    <w:pPr>
      <w:spacing w:before="280" w:after="280"/>
    </w:pPr>
    <w:rPr/>
  </w:style>
  <w:style w:type="paragraph" w:styleId="Annotationtext">
    <w:name w:val="annotation text"/>
    <w:basedOn w:val="Normal"/>
    <w:qFormat/>
    <w:pPr/>
    <w:rPr>
      <w:sz w:val="20"/>
      <w:szCs w:val="20"/>
      <w:lang w:eastAsia="ar-SA"/>
    </w:rPr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ISOCPEUR" w:hAnsi="ISOCPEUR" w:eastAsia="Times New Roman" w:cs="ISOCPEUR"/>
      <w:color w:val="000000"/>
      <w:kern w:val="0"/>
      <w:sz w:val="24"/>
      <w:szCs w:val="24"/>
      <w:lang w:val="ru-RU" w:eastAsia="ru-RU" w:bidi="ar-SA"/>
    </w:rPr>
  </w:style>
  <w:style w:type="paragraph" w:styleId="Style27">
    <w:name w:val="Таблица текст"/>
    <w:basedOn w:val="Normal"/>
    <w:qFormat/>
    <w:pPr>
      <w:spacing w:before="40" w:after="40"/>
      <w:ind w:hanging="0" w:left="57" w:right="57"/>
    </w:pPr>
    <w:rPr/>
  </w:style>
  <w:style w:type="paragraph" w:styleId="Style28">
    <w:name w:val="Таблица шапка"/>
    <w:basedOn w:val="Normal"/>
    <w:qFormat/>
    <w:pPr>
      <w:keepNext w:val="true"/>
      <w:spacing w:before="40" w:after="40"/>
      <w:ind w:hanging="0" w:left="57" w:right="57"/>
    </w:pPr>
    <w:rPr>
      <w:sz w:val="22"/>
      <w:szCs w:val="20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  <w:lang w:eastAsia="ru-RU"/>
    </w:rPr>
  </w:style>
  <w:style w:type="paragraph" w:styleId="Style29">
    <w:name w:val="Ариал Таблица"/>
    <w:basedOn w:val="Normal"/>
    <w:qFormat/>
    <w:pPr>
      <w:jc w:val="both"/>
    </w:pPr>
    <w:rPr>
      <w:rFonts w:ascii="Arial" w:hAnsi="Arial" w:cs="Arial"/>
      <w:szCs w:val="20"/>
    </w:rPr>
  </w:style>
  <w:style w:type="paragraph" w:styleId="Style51">
    <w:name w:val="Style5"/>
    <w:basedOn w:val="Normal"/>
    <w:qFormat/>
    <w:pPr>
      <w:widowControl w:val="false"/>
      <w:spacing w:lineRule="exact" w:line="250"/>
      <w:jc w:val="center"/>
    </w:pPr>
    <w:rPr/>
  </w:style>
  <w:style w:type="paragraph" w:styleId="Style121">
    <w:name w:val="Style12"/>
    <w:basedOn w:val="Normal"/>
    <w:qFormat/>
    <w:pPr>
      <w:widowControl w:val="false"/>
      <w:spacing w:lineRule="exact" w:line="418"/>
      <w:ind w:hanging="355" w:left="0" w:right="0"/>
    </w:pPr>
    <w:rPr/>
  </w:style>
  <w:style w:type="paragraph" w:styleId="Style31">
    <w:name w:val="Style3"/>
    <w:basedOn w:val="Normal"/>
    <w:qFormat/>
    <w:pPr>
      <w:widowControl w:val="false"/>
      <w:spacing w:lineRule="exact" w:line="283"/>
    </w:pPr>
    <w:rPr/>
  </w:style>
  <w:style w:type="paragraph" w:styleId="Style91">
    <w:name w:val="Style9"/>
    <w:basedOn w:val="Normal"/>
    <w:qFormat/>
    <w:pPr>
      <w:widowControl w:val="false"/>
    </w:pPr>
    <w:rPr/>
  </w:style>
  <w:style w:type="paragraph" w:styleId="Style210">
    <w:name w:val="Style2"/>
    <w:basedOn w:val="Normal"/>
    <w:qFormat/>
    <w:pPr>
      <w:widowControl w:val="false"/>
    </w:pPr>
    <w:rPr/>
  </w:style>
  <w:style w:type="paragraph" w:styleId="Style101">
    <w:name w:val="Style10"/>
    <w:basedOn w:val="Normal"/>
    <w:qFormat/>
    <w:pPr>
      <w:widowControl w:val="false"/>
    </w:pPr>
    <w:rPr>
      <w:rFonts w:eastAsia="Arial Unicode MS"/>
    </w:rPr>
  </w:style>
  <w:style w:type="paragraph" w:styleId="Formattext">
    <w:name w:val="formattext"/>
    <w:basedOn w:val="Normal"/>
    <w:qFormat/>
    <w:pPr>
      <w:spacing w:before="280" w:after="280"/>
    </w:pPr>
    <w:rPr/>
  </w:style>
  <w:style w:type="paragraph" w:styleId="11">
    <w:name w:val="Обычный1"/>
    <w:qFormat/>
    <w:pPr>
      <w:widowControl/>
      <w:suppressAutoHyphens w:val="true"/>
      <w:bidi w:val="0"/>
      <w:snapToGrid w:val="false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Application>AlterOffice/2026.1.1.1$Linux_X86_64 LibreOffice_project/3e21501661f60bfec03e40427f644625fc6a58b7</Application>
  <AppVersion>15.0000</AppVersion>
  <Pages>3</Pages>
  <Words>506</Words>
  <Characters>3122</Characters>
  <CharactersWithSpaces>3475</CharactersWithSpaces>
  <Paragraphs>156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2023-07-31T05:37:00Z</dcterms:created>
  <dc:creator>Администратор</dc:creator>
  <dc:description/>
  <dc:language>ru-RU</dc:language>
  <cp:lastModifiedBy>startsev_aa</cp:lastModifiedBy>
  <dcterms:modified xsi:type="dcterms:W3CDTF">2026-07-31T09:39:00Z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